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676"/>
        <w:gridCol w:w="6612"/>
      </w:tblGrid>
      <w:tr w:rsidR="00133FE5" w:rsidRPr="00C81163" w:rsidTr="006843FC">
        <w:tc>
          <w:tcPr>
            <w:tcW w:w="2676" w:type="dxa"/>
          </w:tcPr>
          <w:p w:rsidR="00133FE5" w:rsidRPr="00C81163" w:rsidRDefault="00133FE5" w:rsidP="0068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B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BF"/>
                <w:sz w:val="24"/>
                <w:szCs w:val="24"/>
                <w:lang w:eastAsia="fr-FR"/>
              </w:rPr>
              <w:drawing>
                <wp:inline distT="0" distB="0" distL="0" distR="0">
                  <wp:extent cx="1533525" cy="1809750"/>
                  <wp:effectExtent l="19050" t="0" r="9525" b="0"/>
                  <wp:docPr id="1" name="Image 0" descr="fridolinvi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fridolinvie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</w:tcPr>
          <w:p w:rsidR="00133FE5" w:rsidRDefault="00133FE5" w:rsidP="006843FC">
            <w:pPr>
              <w:spacing w:after="0" w:line="240" w:lineRule="auto"/>
              <w:jc w:val="both"/>
              <w:rPr>
                <w:rFonts w:ascii="Lucida Handwriting" w:eastAsia="Times New Roman" w:hAnsi="Lucida Handwriting"/>
                <w:b/>
                <w:bCs/>
                <w:color w:val="0000BF"/>
                <w:sz w:val="32"/>
                <w:szCs w:val="32"/>
                <w:lang w:eastAsia="fr-FR"/>
              </w:rPr>
            </w:pPr>
            <w:r w:rsidRPr="00656061">
              <w:rPr>
                <w:rFonts w:ascii="Lucida Handwriting" w:eastAsia="Times New Roman" w:hAnsi="Lucida Handwriting"/>
                <w:b/>
                <w:bCs/>
                <w:color w:val="0000BF"/>
                <w:sz w:val="32"/>
                <w:szCs w:val="32"/>
                <w:lang w:eastAsia="fr-FR"/>
              </w:rPr>
              <w:t>ASSOCIATION POUR LA CAPACITATION JURIDIQUE DES ADOLESCENTS ET LA PRE-MAJORITE</w:t>
            </w:r>
          </w:p>
          <w:p w:rsidR="005E34FA" w:rsidRPr="00C81163" w:rsidRDefault="005E34FA" w:rsidP="006843FC">
            <w:pPr>
              <w:spacing w:after="0" w:line="240" w:lineRule="auto"/>
              <w:jc w:val="both"/>
              <w:rPr>
                <w:rFonts w:ascii="Lucida Handwriting" w:eastAsia="Times New Roman" w:hAnsi="Lucida Handwriting"/>
                <w:b/>
                <w:bCs/>
                <w:color w:val="0000BF"/>
                <w:sz w:val="32"/>
                <w:szCs w:val="32"/>
                <w:lang w:eastAsia="fr-FR"/>
              </w:rPr>
            </w:pPr>
            <w:r w:rsidRPr="00656061">
              <w:rPr>
                <w:rFonts w:ascii="Times New Roman" w:eastAsia="Times New Roman" w:hAnsi="Times New Roman"/>
                <w:b/>
                <w:bCs/>
                <w:color w:val="0000BF"/>
                <w:sz w:val="24"/>
                <w:szCs w:val="24"/>
                <w:lang w:eastAsia="fr-FR"/>
              </w:rPr>
              <w:t>W081002350</w:t>
            </w:r>
          </w:p>
          <w:p w:rsidR="00133FE5" w:rsidRPr="00C81163" w:rsidRDefault="00133FE5" w:rsidP="006843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BF"/>
                <w:sz w:val="24"/>
                <w:szCs w:val="24"/>
                <w:lang w:eastAsia="fr-FR"/>
              </w:rPr>
            </w:pPr>
          </w:p>
          <w:p w:rsidR="00133FE5" w:rsidRPr="00C81163" w:rsidRDefault="00133FE5" w:rsidP="00684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</w:pPr>
            <w:r w:rsidRPr="00C81163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Saint Fridolin, Irlandais évangélisateur et voyageur devenu « apôtre de l’Alémanie », représenté ici sur le blason du petit canton helvétique du Glarus. Le droit cantonal glaronnais pour la jeunesse est probablement l</w:t>
            </w:r>
            <w:r w:rsidR="00CB5F8F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’un d</w:t>
            </w:r>
            <w:r w:rsidRPr="00C81163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e</w:t>
            </w:r>
            <w:r w:rsidR="00CB5F8F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s</w:t>
            </w:r>
            <w:r w:rsidRPr="00C81163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 xml:space="preserve"> plus avancé</w:t>
            </w:r>
            <w:r w:rsidR="00CB5F8F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>s</w:t>
            </w:r>
            <w:r w:rsidRPr="00C81163">
              <w:rPr>
                <w:rFonts w:ascii="Times New Roman" w:eastAsia="Times New Roman" w:hAnsi="Times New Roman"/>
                <w:i/>
                <w:sz w:val="16"/>
                <w:szCs w:val="16"/>
                <w:lang w:eastAsia="fr-FR"/>
              </w:rPr>
              <w:t xml:space="preserve"> d’Europe.</w:t>
            </w:r>
          </w:p>
        </w:tc>
      </w:tr>
    </w:tbl>
    <w:p w:rsidR="00133FE5" w:rsidRDefault="00B374FC">
      <w:r>
        <w:t>Siège social : 8 Rue du Daga, 08000 Charleville-Mézières</w:t>
      </w:r>
    </w:p>
    <w:p w:rsidR="00B374FC" w:rsidRDefault="00B374FC">
      <w:r>
        <w:t xml:space="preserve">Site : </w:t>
      </w:r>
      <w:hyperlink r:id="rId5" w:history="1">
        <w:r w:rsidRPr="00E96F37">
          <w:rPr>
            <w:rStyle w:val="Lienhypertexte"/>
          </w:rPr>
          <w:t>http://www.pre-majorite.fr</w:t>
        </w:r>
      </w:hyperlink>
      <w:r>
        <w:t xml:space="preserve"> </w:t>
      </w:r>
    </w:p>
    <w:p w:rsidR="00F867F6" w:rsidRDefault="00F867F6"/>
    <w:p w:rsidR="00B374FC" w:rsidRDefault="00F867F6">
      <w:r>
        <w:t>Le 2 mars 2013,</w:t>
      </w:r>
    </w:p>
    <w:p w:rsidR="00133FE5" w:rsidRPr="00082004" w:rsidRDefault="00133FE5">
      <w:pPr>
        <w:rPr>
          <w:b/>
        </w:rPr>
      </w:pPr>
      <w:r w:rsidRPr="00082004">
        <w:rPr>
          <w:b/>
        </w:rPr>
        <w:t xml:space="preserve">A : Monsieur le </w:t>
      </w:r>
      <w:r w:rsidR="00974EC5" w:rsidRPr="00082004">
        <w:rPr>
          <w:b/>
        </w:rPr>
        <w:t>Sous-préfet</w:t>
      </w:r>
      <w:r w:rsidRPr="00082004">
        <w:rPr>
          <w:b/>
        </w:rPr>
        <w:t xml:space="preserve"> de Vouziers</w:t>
      </w:r>
    </w:p>
    <w:p w:rsidR="00133FE5" w:rsidRDefault="00133FE5">
      <w:pPr>
        <w:rPr>
          <w:b/>
        </w:rPr>
      </w:pPr>
      <w:r w:rsidRPr="00082004">
        <w:rPr>
          <w:b/>
        </w:rPr>
        <w:t>Jean-Luc JAEG</w:t>
      </w:r>
    </w:p>
    <w:p w:rsidR="00C15D83" w:rsidRPr="00C15D83" w:rsidRDefault="00C15D83">
      <w:pPr>
        <w:rPr>
          <w:i/>
        </w:rPr>
      </w:pPr>
      <w:r w:rsidRPr="00C15D83">
        <w:rPr>
          <w:i/>
        </w:rPr>
        <w:t>Copie au bureau des Associations.</w:t>
      </w:r>
    </w:p>
    <w:p w:rsidR="00C15D83" w:rsidRPr="00082004" w:rsidRDefault="00C15D83">
      <w:pPr>
        <w:rPr>
          <w:b/>
        </w:rPr>
      </w:pPr>
    </w:p>
    <w:p w:rsidR="00133FE5" w:rsidRPr="00082004" w:rsidRDefault="00133FE5">
      <w:pPr>
        <w:rPr>
          <w:b/>
          <w:u w:val="single"/>
        </w:rPr>
      </w:pPr>
      <w:r w:rsidRPr="00082004">
        <w:rPr>
          <w:b/>
          <w:u w:val="single"/>
        </w:rPr>
        <w:t>Objet : Refus d’enregistrement d’association.</w:t>
      </w:r>
    </w:p>
    <w:p w:rsidR="00133FE5" w:rsidRDefault="00133FE5"/>
    <w:p w:rsidR="00133FE5" w:rsidRDefault="00082004" w:rsidP="00873294">
      <w:pPr>
        <w:jc w:val="both"/>
      </w:pPr>
      <w:r>
        <w:t>Monsieur,</w:t>
      </w:r>
    </w:p>
    <w:p w:rsidR="00873294" w:rsidRDefault="00082004" w:rsidP="00873294">
      <w:pPr>
        <w:ind w:firstLine="709"/>
        <w:jc w:val="both"/>
      </w:pPr>
      <w:r>
        <w:t>Monsieur Abigaïl LOCOGE et notre association prennent</w:t>
      </w:r>
      <w:r w:rsidR="005F4F2E">
        <w:t xml:space="preserve">, conjointement, </w:t>
      </w:r>
      <w:r>
        <w:t xml:space="preserve"> acte de votre courrier du 4 février 2013, manifestant votre refus d’enregistrer une association (</w:t>
      </w:r>
      <w:r w:rsidRPr="00873294">
        <w:rPr>
          <w:i/>
        </w:rPr>
        <w:t xml:space="preserve">Du Sinémurien ardennais aux requins de </w:t>
      </w:r>
      <w:r w:rsidR="00873294" w:rsidRPr="00873294">
        <w:rPr>
          <w:i/>
        </w:rPr>
        <w:t>France</w:t>
      </w:r>
      <w:r w:rsidR="00873294">
        <w:t>)</w:t>
      </w:r>
      <w:r>
        <w:t xml:space="preserve">. </w:t>
      </w:r>
      <w:r w:rsidR="00873294">
        <w:t xml:space="preserve"> Même si votre courrier ne constitue pas explicitement une décision (vous vous gardez bien de</w:t>
      </w:r>
      <w:r w:rsidR="00D056F6">
        <w:t xml:space="preserve"> lui</w:t>
      </w:r>
      <w:r w:rsidR="00873294">
        <w:t xml:space="preserve"> donner cette </w:t>
      </w:r>
      <w:r w:rsidR="00D056F6">
        <w:t>qualité</w:t>
      </w:r>
      <w:r w:rsidR="00873294">
        <w:t xml:space="preserve">), le </w:t>
      </w:r>
      <w:r w:rsidR="00873294" w:rsidRPr="00873294">
        <w:rPr>
          <w:i/>
        </w:rPr>
        <w:t>refus d’enregistrer</w:t>
      </w:r>
      <w:r w:rsidR="00873294">
        <w:t xml:space="preserve"> n’en est pas moins constitué. Le temps écoulé, </w:t>
      </w:r>
      <w:r w:rsidR="006439F4">
        <w:t>pour</w:t>
      </w:r>
      <w:r w:rsidR="00873294">
        <w:t xml:space="preserve"> chaque</w:t>
      </w:r>
      <w:r w:rsidR="002A55FC">
        <w:t xml:space="preserve"> jour</w:t>
      </w:r>
      <w:r w:rsidR="006439F4">
        <w:t xml:space="preserve"> supplémentaire</w:t>
      </w:r>
      <w:r w:rsidR="00873294">
        <w:t xml:space="preserve"> passé, perd son caractère de </w:t>
      </w:r>
      <w:r w:rsidR="00873294" w:rsidRPr="005F4F2E">
        <w:rPr>
          <w:i/>
        </w:rPr>
        <w:t>délai raisonnable</w:t>
      </w:r>
      <w:r w:rsidR="00873294">
        <w:t>, même si cette notion est difficile à définir</w:t>
      </w:r>
      <w:r w:rsidR="005F4F2E">
        <w:t xml:space="preserve"> précisément, nous en convenons</w:t>
      </w:r>
      <w:r w:rsidR="00873294">
        <w:t xml:space="preserve">. </w:t>
      </w:r>
    </w:p>
    <w:p w:rsidR="00133FE5" w:rsidRDefault="00873294" w:rsidP="00873294">
      <w:pPr>
        <w:ind w:firstLine="709"/>
        <w:jc w:val="both"/>
      </w:pPr>
      <w:r>
        <w:t>Nous vous rappelons donc que la procédure – si l’on excepte les départements</w:t>
      </w:r>
      <w:r w:rsidR="00AA7807">
        <w:t xml:space="preserve"> sous Concordat </w:t>
      </w:r>
      <w:r>
        <w:t xml:space="preserve"> d’Alsace-Moselle – interdit ce refus</w:t>
      </w:r>
      <w:r w:rsidR="00461152">
        <w:t xml:space="preserve"> aux fonctionnaires de la préfecture</w:t>
      </w:r>
      <w:r>
        <w:t xml:space="preserve">. Vous avez obligation d’enregistrement, quitte ensuite à exiger la dissolution </w:t>
      </w:r>
      <w:r w:rsidR="005F4F2E">
        <w:t>de l’association</w:t>
      </w:r>
      <w:r w:rsidR="00E174D6">
        <w:t>,</w:t>
      </w:r>
      <w:r w:rsidR="005F4F2E">
        <w:t xml:space="preserve"> que vous prétendez </w:t>
      </w:r>
      <w:r w:rsidR="00E174D6">
        <w:t xml:space="preserve">invalide, </w:t>
      </w:r>
      <w:r>
        <w:t xml:space="preserve">devant la juridiction compétente. </w:t>
      </w:r>
      <w:r w:rsidR="005F4F2E">
        <w:t xml:space="preserve">Juridiction devant laquelle l’ACJAPM compte </w:t>
      </w:r>
      <w:r w:rsidR="00FF6468">
        <w:t>bien,</w:t>
      </w:r>
      <w:r w:rsidR="002A55FC">
        <w:t xml:space="preserve"> le cas échéant,</w:t>
      </w:r>
      <w:r w:rsidR="005F4F2E">
        <w:t xml:space="preserve"> se porter parti</w:t>
      </w:r>
      <w:r w:rsidR="00E174D6">
        <w:t>e</w:t>
      </w:r>
      <w:r w:rsidR="005F4F2E">
        <w:t xml:space="preserve"> civile. Voilà pourquoi nous allons réitérer, tout en conservant le précieux document que vous avez l’amabilité de nous faire parvenir et qui constitue un vice de forme en notre faveur. </w:t>
      </w:r>
    </w:p>
    <w:p w:rsidR="00687955" w:rsidRDefault="005F4F2E" w:rsidP="00873294">
      <w:pPr>
        <w:ind w:firstLine="709"/>
        <w:jc w:val="both"/>
      </w:pPr>
      <w:r>
        <w:t>Sur le fond, nous manifestons notre étonnement</w:t>
      </w:r>
      <w:r w:rsidR="00AF4F75">
        <w:t xml:space="preserve"> </w:t>
      </w:r>
      <w:r w:rsidR="00E174D6">
        <w:t>en constatant</w:t>
      </w:r>
      <w:r w:rsidR="00AF4F75">
        <w:t xml:space="preserve"> quelques confusions</w:t>
      </w:r>
      <w:r w:rsidR="00E174D6">
        <w:t xml:space="preserve"> sous la plume d’un juriste de votre qualité, qui fut magistrat de surcroît. Ainsi, la loi du 1</w:t>
      </w:r>
      <w:r w:rsidR="00E174D6" w:rsidRPr="00E174D6">
        <w:rPr>
          <w:vertAlign w:val="superscript"/>
        </w:rPr>
        <w:t>er</w:t>
      </w:r>
      <w:r w:rsidR="00E174D6">
        <w:t xml:space="preserve"> juillet 1901 n’imposait aucunement une quelconque limite d’âge (ni de sexe, car à l’époque, les femmes étaient </w:t>
      </w:r>
      <w:r w:rsidR="00E174D6">
        <w:lastRenderedPageBreak/>
        <w:t xml:space="preserve">aussi frappées d’incapacité) ni une quelconque autorisation parentale ou du mari. La loi de 1901 était extraordinairement avancée et offrait tant aux suffragettes qu’aux juvéniles une opportunité </w:t>
      </w:r>
      <w:r w:rsidR="00CF3D72">
        <w:t>de se manifester ; on peut regretter que</w:t>
      </w:r>
      <w:r w:rsidR="00D056F6">
        <w:t>,</w:t>
      </w:r>
      <w:r w:rsidR="00CF3D72">
        <w:t xml:space="preserve"> malgré la loi de 1901, la France ait pris 40 ans de retard sur la Suède pour le vote des femmes…</w:t>
      </w:r>
      <w:r w:rsidR="00E174D6">
        <w:t xml:space="preserve">  </w:t>
      </w:r>
      <w:r w:rsidR="00687955">
        <w:t xml:space="preserve">Quant à la jeunesse, le Doyen d’Assas, le civiliste Jean Carbonnier, avait émis </w:t>
      </w:r>
      <w:r w:rsidR="00D056F6">
        <w:t>quelques</w:t>
      </w:r>
      <w:r w:rsidR="00687955">
        <w:t xml:space="preserve"> propositions dès les années 1970 : encore 40 ans de perdus… </w:t>
      </w:r>
      <w:r w:rsidR="00E174D6">
        <w:t xml:space="preserve"> </w:t>
      </w:r>
    </w:p>
    <w:p w:rsidR="00AA7807" w:rsidRDefault="00E174D6" w:rsidP="00873294">
      <w:pPr>
        <w:ind w:firstLine="709"/>
        <w:jc w:val="both"/>
      </w:pPr>
      <w:r>
        <w:t xml:space="preserve">Il </w:t>
      </w:r>
      <w:r w:rsidR="006439F4">
        <w:t>apparaît</w:t>
      </w:r>
      <w:r w:rsidR="00D056F6">
        <w:t>,</w:t>
      </w:r>
      <w:r w:rsidR="00CF3D72">
        <w:t xml:space="preserve"> donc</w:t>
      </w:r>
      <w:r w:rsidR="00D056F6">
        <w:t>,</w:t>
      </w:r>
      <w:r>
        <w:t xml:space="preserve"> que vous citez non la loi de 1901 mais la loi du 28 juillet 2011, parue au JO le lendemain</w:t>
      </w:r>
      <w:r w:rsidR="00CF3D72">
        <w:t xml:space="preserve"> ; </w:t>
      </w:r>
      <w:r w:rsidR="009B30D1">
        <w:t>outre que ce rajout superfétatoire n’a aucunement la valeur historique avec laquelle vous vouliez le maquiller, celui</w:t>
      </w:r>
      <w:r w:rsidR="00CF3D72">
        <w:t>-ci constitue une régression</w:t>
      </w:r>
      <w:r w:rsidR="00687955">
        <w:t xml:space="preserve"> et nous la contestons. Cette contestation est recevable dans la mesure où cette disposition s’oppose radicalement à la Convention Internationale des Droits de l’Enfant, signée par la France le 20 novembre 1989 et qui, depuis le 18 mai 2005, est censée s’appliquer directement en France. Vouliez-vous éviter cette confrontation et cette jurisprudence inévitables</w:t>
      </w:r>
      <w:r w:rsidR="00F26972">
        <w:t>, à terme</w:t>
      </w:r>
      <w:r w:rsidR="00687955">
        <w:t xml:space="preserve"> ? </w:t>
      </w:r>
      <w:r>
        <w:t xml:space="preserve"> </w:t>
      </w:r>
    </w:p>
    <w:p w:rsidR="00873294" w:rsidRDefault="00687955" w:rsidP="00873294">
      <w:pPr>
        <w:ind w:firstLine="709"/>
        <w:jc w:val="both"/>
      </w:pPr>
      <w:r>
        <w:t>Cela dit, nous comprenons vos réticences sur le poste de trésorier</w:t>
      </w:r>
      <w:r w:rsidR="002A55FC">
        <w:t xml:space="preserve"> ; l’ACJAPM ne revendique </w:t>
      </w:r>
      <w:r w:rsidR="00C15D83">
        <w:t xml:space="preserve">d’ailleurs </w:t>
      </w:r>
      <w:r w:rsidR="002A55FC">
        <w:t>pas de capacité juridique pour les 14-18 ans en matière financière mais en matière religieuse (comme en Allemagne par exemple) ou</w:t>
      </w:r>
      <w:r w:rsidR="00923F9B">
        <w:t xml:space="preserve"> en</w:t>
      </w:r>
      <w:r w:rsidR="002A55FC">
        <w:t xml:space="preserve"> matière d’orientation scolaire, comme aux Pays-Bas par exemple. S</w:t>
      </w:r>
      <w:r w:rsidR="00D056F6">
        <w:t xml:space="preserve">ans vouloir vous satisfaire, </w:t>
      </w:r>
      <w:r>
        <w:t xml:space="preserve">la composition du bureau changera </w:t>
      </w:r>
      <w:r w:rsidR="002A55FC">
        <w:t xml:space="preserve">donc </w:t>
      </w:r>
      <w:r w:rsidR="00D056F6">
        <w:t xml:space="preserve">toutefois </w:t>
      </w:r>
      <w:r>
        <w:t>q</w:t>
      </w:r>
      <w:r w:rsidR="006439F4">
        <w:t>uelque peu ; cette modification</w:t>
      </w:r>
      <w:r>
        <w:t xml:space="preserve"> ne constitue</w:t>
      </w:r>
      <w:r w:rsidR="00D056F6">
        <w:t>,</w:t>
      </w:r>
      <w:r>
        <w:t xml:space="preserve"> en aucun cas</w:t>
      </w:r>
      <w:r w:rsidR="00D056F6">
        <w:t>,</w:t>
      </w:r>
      <w:r>
        <w:t xml:space="preserve"> une acceptation de votre courrier</w:t>
      </w:r>
      <w:r w:rsidR="00F26972">
        <w:t xml:space="preserve"> ou une soumission à votre injonction ; </w:t>
      </w:r>
      <w:r w:rsidR="00923F9B">
        <w:t>elle</w:t>
      </w:r>
      <w:r w:rsidR="00F26972">
        <w:t xml:space="preserve"> traduit au contraire la montée des réactions à son encontre</w:t>
      </w:r>
      <w:r>
        <w:t xml:space="preserve">. D’ailleurs, à propos de </w:t>
      </w:r>
      <w:r w:rsidR="00F26972">
        <w:t>votre enveloppe</w:t>
      </w:r>
      <w:r>
        <w:t>, il n’était nullement besoin de l’envoyer au destinataire sous « </w:t>
      </w:r>
      <w:r w:rsidRPr="00687955">
        <w:rPr>
          <w:i/>
        </w:rPr>
        <w:t>couvert de son représentant légal</w:t>
      </w:r>
      <w:r>
        <w:t> »</w:t>
      </w:r>
      <w:r w:rsidR="00F26972">
        <w:t xml:space="preserve">, c’est extrêmement désuet, </w:t>
      </w:r>
      <w:r w:rsidR="000254C9">
        <w:t xml:space="preserve">cela laisse quelque peu sourire. </w:t>
      </w:r>
      <w:r>
        <w:t>Abigaïl</w:t>
      </w:r>
      <w:r w:rsidR="00F26972">
        <w:t xml:space="preserve"> Locoge</w:t>
      </w:r>
      <w:r>
        <w:t xml:space="preserve"> est un jeune citoyen en pleine possession de ses moyens intellectuels</w:t>
      </w:r>
      <w:r w:rsidR="006439F4">
        <w:t> ; un jeune homme de son âge ne verrait-il pas devenir facultative son excuse de minorité dans un cadre pénal ? Il n’y aucune raison qu’il n’en soit de même en matière civile.</w:t>
      </w:r>
      <w:r w:rsidR="00F26972">
        <w:t xml:space="preserve"> En droit, il existe désormais une notion avec laquelle nous vous invitons à vous familiariser : celle de </w:t>
      </w:r>
      <w:r w:rsidR="00F26972" w:rsidRPr="00F26972">
        <w:rPr>
          <w:i/>
        </w:rPr>
        <w:t>discernement</w:t>
      </w:r>
      <w:r w:rsidR="00F26972">
        <w:t xml:space="preserve"> des « mineurs ».  </w:t>
      </w:r>
    </w:p>
    <w:p w:rsidR="00C15D83" w:rsidRDefault="00C15D83" w:rsidP="00873294">
      <w:pPr>
        <w:ind w:firstLine="709"/>
        <w:jc w:val="both"/>
      </w:pPr>
    </w:p>
    <w:p w:rsidR="000254C9" w:rsidRDefault="000254C9" w:rsidP="00873294">
      <w:pPr>
        <w:ind w:firstLine="709"/>
        <w:jc w:val="both"/>
      </w:pPr>
      <w:r>
        <w:t xml:space="preserve">Veuillez agréer, Monsieur le </w:t>
      </w:r>
      <w:r w:rsidR="00974EC5">
        <w:t>Sous-préfet</w:t>
      </w:r>
      <w:r>
        <w:t>, l’expression de nos considérations distinguées.</w:t>
      </w:r>
    </w:p>
    <w:p w:rsidR="000254C9" w:rsidRDefault="000254C9" w:rsidP="00873294">
      <w:pPr>
        <w:ind w:firstLine="709"/>
        <w:jc w:val="both"/>
      </w:pPr>
    </w:p>
    <w:p w:rsidR="000254C9" w:rsidRDefault="000254C9" w:rsidP="00873294">
      <w:pPr>
        <w:ind w:firstLine="709"/>
        <w:jc w:val="both"/>
      </w:pPr>
      <w:r>
        <w:t>Pour l’ACJAPM,</w:t>
      </w:r>
    </w:p>
    <w:p w:rsidR="000254C9" w:rsidRDefault="000254C9" w:rsidP="00873294">
      <w:pPr>
        <w:ind w:firstLine="709"/>
        <w:jc w:val="both"/>
      </w:pPr>
      <w:r>
        <w:t>Le trésorier,</w:t>
      </w:r>
    </w:p>
    <w:p w:rsidR="000254C9" w:rsidRDefault="000254C9" w:rsidP="00873294">
      <w:pPr>
        <w:ind w:firstLine="709"/>
        <w:jc w:val="both"/>
      </w:pPr>
    </w:p>
    <w:p w:rsidR="00133FE5" w:rsidRDefault="00133FE5"/>
    <w:sectPr w:rsidR="00133FE5" w:rsidSect="000B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FE5"/>
    <w:rsid w:val="000254C9"/>
    <w:rsid w:val="00082004"/>
    <w:rsid w:val="000B0DFE"/>
    <w:rsid w:val="00133FE5"/>
    <w:rsid w:val="002A55FC"/>
    <w:rsid w:val="00461152"/>
    <w:rsid w:val="005E34FA"/>
    <w:rsid w:val="005F4F2E"/>
    <w:rsid w:val="006439F4"/>
    <w:rsid w:val="00687955"/>
    <w:rsid w:val="00752B9A"/>
    <w:rsid w:val="00873294"/>
    <w:rsid w:val="00923F9B"/>
    <w:rsid w:val="00974EC5"/>
    <w:rsid w:val="009B30D1"/>
    <w:rsid w:val="00AA7807"/>
    <w:rsid w:val="00AF4F75"/>
    <w:rsid w:val="00B374FC"/>
    <w:rsid w:val="00BC5687"/>
    <w:rsid w:val="00C15D83"/>
    <w:rsid w:val="00CB5F8F"/>
    <w:rsid w:val="00CE4508"/>
    <w:rsid w:val="00CF2325"/>
    <w:rsid w:val="00CF3D72"/>
    <w:rsid w:val="00D056F6"/>
    <w:rsid w:val="00E174D6"/>
    <w:rsid w:val="00F26972"/>
    <w:rsid w:val="00F867F6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FE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-majori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dcterms:created xsi:type="dcterms:W3CDTF">2013-03-01T17:17:00Z</dcterms:created>
  <dcterms:modified xsi:type="dcterms:W3CDTF">2013-03-03T07:06:00Z</dcterms:modified>
</cp:coreProperties>
</file>